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70F3" w:rsidRDefault="000A70F3">
      <w:pPr>
        <w:rPr>
          <w:b/>
          <w:u w:val="single"/>
        </w:rPr>
      </w:pPr>
      <w:r w:rsidRPr="000A70F3">
        <w:rPr>
          <w:b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-410320</wp:posOffset>
            </wp:positionH>
            <wp:positionV relativeFrom="margin">
              <wp:posOffset>-803082</wp:posOffset>
            </wp:positionV>
            <wp:extent cx="10092469" cy="1566407"/>
            <wp:effectExtent l="19050" t="0" r="2761" b="0"/>
            <wp:wrapNone/>
            <wp:docPr id="3" name="Picture 2" descr="Ramadie Letterhead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739" cy="156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F3" w:rsidRDefault="000A70F3">
      <w:pPr>
        <w:rPr>
          <w:b/>
          <w:u w:val="single"/>
        </w:rPr>
      </w:pPr>
    </w:p>
    <w:p w:rsidR="000A70F3" w:rsidRDefault="000A70F3">
      <w:pPr>
        <w:rPr>
          <w:b/>
          <w:u w:val="single"/>
        </w:rPr>
      </w:pPr>
    </w:p>
    <w:p w:rsidR="000A70F3" w:rsidRPr="0069468C" w:rsidRDefault="0069468C" w:rsidP="0069468C">
      <w:pPr>
        <w:jc w:val="center"/>
        <w:rPr>
          <w:b/>
          <w:sz w:val="24"/>
          <w:szCs w:val="24"/>
          <w:u w:val="single"/>
        </w:rPr>
      </w:pPr>
      <w:r w:rsidRPr="0069468C">
        <w:rPr>
          <w:b/>
          <w:sz w:val="24"/>
          <w:szCs w:val="24"/>
          <w:u w:val="single"/>
        </w:rPr>
        <w:t>PROVINCIAL RECOVERY PROGRAMME FOR TECHNOLOGY GRADE 7 -9</w:t>
      </w:r>
    </w:p>
    <w:p w:rsidR="00BF5547" w:rsidRPr="0069468C" w:rsidRDefault="004752F0" w:rsidP="0069468C">
      <w:pPr>
        <w:jc w:val="center"/>
        <w:rPr>
          <w:b/>
          <w:sz w:val="24"/>
          <w:szCs w:val="24"/>
          <w:u w:val="single"/>
        </w:rPr>
      </w:pPr>
      <w:r w:rsidRPr="0069468C">
        <w:rPr>
          <w:b/>
          <w:sz w:val="24"/>
          <w:szCs w:val="24"/>
          <w:u w:val="single"/>
        </w:rPr>
        <w:t>TECHNOLOGY CATCHUP TOPICS</w:t>
      </w:r>
    </w:p>
    <w:tbl>
      <w:tblPr>
        <w:tblStyle w:val="a"/>
        <w:bidiVisual/>
        <w:tblW w:w="15544" w:type="dxa"/>
        <w:tblInd w:w="-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7"/>
        <w:gridCol w:w="10632"/>
        <w:gridCol w:w="1701"/>
        <w:gridCol w:w="1794"/>
      </w:tblGrid>
      <w:tr w:rsidR="00BF5547" w:rsidTr="0069468C">
        <w:tc>
          <w:tcPr>
            <w:tcW w:w="1417" w:type="dxa"/>
            <w:shd w:val="clear" w:color="auto" w:fill="D9D9D9"/>
            <w:vAlign w:val="center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468C">
              <w:rPr>
                <w:rFonts w:ascii="Times New Roman" w:hAnsi="Times New Roman" w:cs="Times New Roman"/>
                <w:b/>
                <w:u w:val="single"/>
              </w:rPr>
              <w:t>GRADE</w:t>
            </w:r>
          </w:p>
        </w:tc>
        <w:tc>
          <w:tcPr>
            <w:tcW w:w="10632" w:type="dxa"/>
            <w:shd w:val="clear" w:color="auto" w:fill="D9D9D9"/>
            <w:vAlign w:val="center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468C">
              <w:rPr>
                <w:rFonts w:ascii="Times New Roman" w:hAnsi="Times New Roman" w:cs="Times New Roman"/>
                <w:b/>
                <w:u w:val="single"/>
              </w:rPr>
              <w:t>CONTENT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468C">
              <w:rPr>
                <w:rFonts w:ascii="Times New Roman" w:hAnsi="Times New Roman" w:cs="Times New Roman"/>
                <w:b/>
                <w:u w:val="single"/>
              </w:rPr>
              <w:t>ASSESSMENT</w:t>
            </w:r>
          </w:p>
        </w:tc>
        <w:tc>
          <w:tcPr>
            <w:tcW w:w="1794" w:type="dxa"/>
            <w:shd w:val="clear" w:color="auto" w:fill="D9D9D9"/>
            <w:vAlign w:val="center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468C">
              <w:rPr>
                <w:rFonts w:ascii="Times New Roman" w:hAnsi="Times New Roman" w:cs="Times New Roman"/>
                <w:b/>
                <w:u w:val="single"/>
              </w:rPr>
              <w:t>PLANNED DATE OF COMPLETION</w:t>
            </w:r>
          </w:p>
        </w:tc>
      </w:tr>
      <w:tr w:rsidR="00BF5547" w:rsidTr="0069468C">
        <w:tc>
          <w:tcPr>
            <w:tcW w:w="1417" w:type="dxa"/>
            <w:vMerge w:val="restart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Learners make a simple working model.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al-ItalicMT" w:hAnsi="Times New Roman" w:cs="Times New Roman"/>
                <w:i/>
                <w:sz w:val="24"/>
                <w:szCs w:val="24"/>
              </w:rPr>
            </w:pPr>
            <w:r w:rsidRPr="0069468C">
              <w:rPr>
                <w:rFonts w:ascii="Times New Roman" w:eastAsia="Arial-ItalicMT" w:hAnsi="Times New Roman" w:cs="Times New Roman"/>
                <w:i/>
                <w:sz w:val="24"/>
                <w:szCs w:val="24"/>
              </w:rPr>
              <w:t>(At a minimum, the “Jaws-of-Life” model may be a simple device representing how any one</w:t>
            </w:r>
          </w:p>
          <w:p w:rsidR="00BF5547" w:rsidRPr="0069468C" w:rsidRDefault="0069468C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ItalicMT" w:hAnsi="Times New Roman" w:cs="Times New Roman"/>
                <w:i/>
                <w:sz w:val="24"/>
                <w:szCs w:val="24"/>
              </w:rPr>
              <w:t>Machine</w:t>
            </w:r>
            <w:r w:rsidR="004752F0" w:rsidRPr="0069468C">
              <w:rPr>
                <w:rFonts w:ascii="Times New Roman" w:eastAsia="Arial-ItalicMT" w:hAnsi="Times New Roman" w:cs="Times New Roman"/>
                <w:i/>
                <w:sz w:val="24"/>
                <w:szCs w:val="24"/>
              </w:rPr>
              <w:t xml:space="preserve"> in the “Jaws-of-Life” system will work using plastic tubing, syringe(s) and cardboard.)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PAT Portfolio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13/03/2020</w:t>
            </w:r>
          </w:p>
        </w:tc>
      </w:tr>
      <w:tr w:rsidR="00BF5547" w:rsidTr="0069468C">
        <w:tc>
          <w:tcPr>
            <w:tcW w:w="1417" w:type="dxa"/>
            <w:vMerge/>
          </w:tcPr>
          <w:p w:rsidR="00BF5547" w:rsidRPr="0069468C" w:rsidRDefault="00BF5547">
            <w:p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Definition and purpose of structures to contain, protect, support, span.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Classification of structures: natural and man-made.</w:t>
            </w:r>
          </w:p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>Types of structures: shell, frame, solid – learners complete a worksheet.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Informal worksheets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03/04/2020</w:t>
            </w:r>
          </w:p>
        </w:tc>
      </w:tr>
      <w:tr w:rsidR="00BF5547" w:rsidTr="0069468C">
        <w:tc>
          <w:tcPr>
            <w:tcW w:w="1417" w:type="dxa"/>
            <w:vMerge/>
          </w:tcPr>
          <w:p w:rsidR="00BF5547" w:rsidRPr="0069468C" w:rsidRDefault="00BF5547">
            <w:p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Investigate: a cell phone tower – a frame structure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Case study: examine existing towers strengthened by triangulation, including pylons, windmills and mine headgear.</w:t>
            </w:r>
          </w:p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Evaluate: worksheet on the advantages and disadvantages of telephone systems;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Informal worksheets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09/04/2020</w:t>
            </w:r>
          </w:p>
        </w:tc>
      </w:tr>
      <w:tr w:rsidR="00BF5547" w:rsidTr="0069468C">
        <w:tc>
          <w:tcPr>
            <w:tcW w:w="1417" w:type="dxa"/>
            <w:vMerge w:val="restart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  <w:u w:val="single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  <w:u w:val="single"/>
              </w:rPr>
              <w:t>Model of watch tower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Communicate: teams present their plans and model.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Communicate: a sketch in double VP perspective enhanced using two of colour, texture or</w:t>
            </w:r>
            <w:r w:rsidR="0069468C">
              <w:rPr>
                <w:rFonts w:ascii="Times New Roman" w:eastAsia="Arimo" w:hAnsi="Times New Roman" w:cs="Times New Roman"/>
                <w:sz w:val="24"/>
                <w:szCs w:val="24"/>
              </w:rPr>
              <w:t xml:space="preserve"> 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shading.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PAT Portfolio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13/03/2020</w:t>
            </w:r>
          </w:p>
        </w:tc>
      </w:tr>
      <w:tr w:rsidR="00BF5547" w:rsidTr="0069468C">
        <w:tc>
          <w:tcPr>
            <w:tcW w:w="1417" w:type="dxa"/>
            <w:vMerge/>
          </w:tcPr>
          <w:p w:rsidR="00BF5547" w:rsidRPr="0069468C" w:rsidRDefault="00BF5547">
            <w:p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 xml:space="preserve">• The positive impact of technology: 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many natural materials have been replaced in modern times by new or improved materials. Some new materials are environmentally friendly by being bio-degradable.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 xml:space="preserve">• Case study 1: 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investigate the impact of plastic shopping bags on the environment.</w:t>
            </w:r>
          </w:p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>• Report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: l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earners write a report evaluating the effectiveness of using thicker, bio-degradable plastic shopping bags which shoppers must buy.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Informal Worksheets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03/04/2020</w:t>
            </w:r>
          </w:p>
        </w:tc>
      </w:tr>
      <w:tr w:rsidR="00BF5547" w:rsidTr="0069468C">
        <w:tc>
          <w:tcPr>
            <w:tcW w:w="1417" w:type="dxa"/>
            <w:vMerge/>
          </w:tcPr>
          <w:p w:rsidR="00BF5547" w:rsidRPr="0069468C" w:rsidRDefault="00BF5547">
            <w:p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Case study 2: technology with a positive impact on society.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 xml:space="preserve">-- Investigate how waste paper and cardboard are recycled to produce new products for the packaging 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lastRenderedPageBreak/>
              <w:t>industry.</w:t>
            </w:r>
          </w:p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Development: draw a development of an opened container.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Informal Worksheets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09/04/2020</w:t>
            </w:r>
          </w:p>
        </w:tc>
      </w:tr>
      <w:tr w:rsidR="00BF5547" w:rsidTr="0069468C">
        <w:tc>
          <w:tcPr>
            <w:tcW w:w="1417" w:type="dxa"/>
            <w:vMerge w:val="restart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al-BoldMT" w:hAnsi="Times New Roman" w:cs="Times New Roman"/>
                <w:b/>
                <w:sz w:val="24"/>
                <w:szCs w:val="24"/>
                <w:u w:val="single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  <w:u w:val="single"/>
              </w:rPr>
              <w:t>PAT Bridge tender and model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 xml:space="preserve">• Evaluate: 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teams collabor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ate to produce an evaluation instrument. Each learner uses the instrument to evaluate their team’s solution and that of another team. This can be done during the other team’s presentation.</w:t>
            </w:r>
          </w:p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 xml:space="preserve">• Team presentations: 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teams present their tender bid to the “Tender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 xml:space="preserve"> Board”. Each team member must be responsible for an aspect of the presentation. Tenders consist of sketches, plans, budget, model and artistic impressions.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PAT Portfolio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13/04/2020</w:t>
            </w:r>
          </w:p>
        </w:tc>
      </w:tr>
      <w:tr w:rsidR="00BF5547" w:rsidTr="0069468C">
        <w:tc>
          <w:tcPr>
            <w:tcW w:w="1417" w:type="dxa"/>
            <w:vMerge/>
          </w:tcPr>
          <w:p w:rsidR="00BF5547" w:rsidRDefault="00BF5547">
            <w:pPr>
              <w:contextualSpacing w:val="0"/>
            </w:pP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>• Revise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: syringe mechanics using two equal sized syringes linked by a tube. Force transfer between the syringes filled with: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-- Compressed air – pneumatic system.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-- Water – hydraulic system.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>• Action research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 xml:space="preserve">: learners experiment with two different sizes of syringes linked by a tube and filled with hydraulic fluid (water). Learners </w:t>
            </w:r>
            <w:r w:rsidRPr="0069468C">
              <w:rPr>
                <w:rFonts w:ascii="Times New Roman" w:eastAsia="Arial-BoldItalicMT" w:hAnsi="Times New Roman" w:cs="Times New Roman"/>
                <w:b/>
                <w:i/>
                <w:sz w:val="24"/>
                <w:szCs w:val="24"/>
              </w:rPr>
              <w:t xml:space="preserve">experience 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force transfer with either force multiplication or force division (depending on which syringe is the driver/master). Ga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ses (like air) are compressible. Liquids (like water, oils) are incompressible.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>• Action research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: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 xml:space="preserve">Pascal’s principle – </w:t>
            </w:r>
            <w:r w:rsidRPr="0069468C">
              <w:rPr>
                <w:rFonts w:ascii="Times New Roman" w:eastAsia="Arial-ItalicMT" w:hAnsi="Times New Roman" w:cs="Times New Roman"/>
                <w:i/>
                <w:sz w:val="24"/>
                <w:szCs w:val="24"/>
              </w:rPr>
              <w:t>pressure exerted on one part of a hydraulic system will be transferred equally, without any loss, in all directions to other parts of th</w:t>
            </w:r>
            <w:r w:rsidRPr="0069468C">
              <w:rPr>
                <w:rFonts w:ascii="Times New Roman" w:eastAsia="Arial-ItalicMT" w:hAnsi="Times New Roman" w:cs="Times New Roman"/>
                <w:i/>
                <w:sz w:val="24"/>
                <w:szCs w:val="24"/>
              </w:rPr>
              <w:t>e system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.</w:t>
            </w:r>
          </w:p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Note that equal volumes of liquid are moved through the systems, and this results in different extensions (amount of movement) where syringes (cylinders) are of different sizes, so less distance/more force (MA &gt; 1); and more distance/less force (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MA &lt; 1).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Informal Worksheets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03/04/2020</w:t>
            </w:r>
          </w:p>
        </w:tc>
      </w:tr>
      <w:tr w:rsidR="00BF5547" w:rsidTr="0069468C">
        <w:tc>
          <w:tcPr>
            <w:tcW w:w="1417" w:type="dxa"/>
            <w:vMerge/>
          </w:tcPr>
          <w:p w:rsidR="00BF5547" w:rsidRDefault="00BF5547">
            <w:pPr>
              <w:contextualSpacing w:val="0"/>
            </w:pPr>
          </w:p>
        </w:tc>
        <w:tc>
          <w:tcPr>
            <w:tcW w:w="10632" w:type="dxa"/>
          </w:tcPr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The hydraulic press (including simple calculations).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The hydraulic jack.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al-BoldMT" w:hAnsi="Times New Roman" w:cs="Times New Roman"/>
                <w:b/>
                <w:sz w:val="24"/>
                <w:szCs w:val="24"/>
              </w:rPr>
              <w:t xml:space="preserve">• Investigation: 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Design considerations ~ fit-for-purpose:</w:t>
            </w:r>
          </w:p>
          <w:p w:rsidR="00BF5547" w:rsidRPr="0069468C" w:rsidRDefault="004752F0">
            <w:pPr>
              <w:contextualSpacing w:val="0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-- Evaluate the design of the hydraulic jack in terms of: Who is it for? What is it for? Will it do the job? What should it be made of? What should it cost? Is it cost-effective? Does it look good (aesthetics)? Is it safe/easy to use for the end user (ergo</w:t>
            </w: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nomics)?</w:t>
            </w:r>
          </w:p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eastAsia="Arimo" w:hAnsi="Times New Roman" w:cs="Times New Roman"/>
                <w:sz w:val="24"/>
                <w:szCs w:val="24"/>
              </w:rPr>
              <w:t>• Draw a systems diagram which describes the way a hydraulic jack works.</w:t>
            </w:r>
          </w:p>
        </w:tc>
        <w:tc>
          <w:tcPr>
            <w:tcW w:w="1701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Informal Worksheets</w:t>
            </w:r>
          </w:p>
        </w:tc>
        <w:tc>
          <w:tcPr>
            <w:tcW w:w="1794" w:type="dxa"/>
          </w:tcPr>
          <w:p w:rsidR="00BF5547" w:rsidRPr="0069468C" w:rsidRDefault="004752F0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C">
              <w:rPr>
                <w:rFonts w:ascii="Times New Roman" w:hAnsi="Times New Roman" w:cs="Times New Roman"/>
                <w:sz w:val="24"/>
                <w:szCs w:val="24"/>
              </w:rPr>
              <w:t>09/04/2020</w:t>
            </w:r>
          </w:p>
        </w:tc>
      </w:tr>
    </w:tbl>
    <w:p w:rsidR="00BF5547" w:rsidRDefault="00BF5547">
      <w:pPr>
        <w:rPr>
          <w:b/>
          <w:u w:val="single"/>
        </w:rPr>
      </w:pPr>
    </w:p>
    <w:sectPr w:rsidR="00BF5547" w:rsidSect="0069468C">
      <w:footerReference w:type="default" r:id="rId7"/>
      <w:pgSz w:w="16840" w:h="11907" w:orient="landscape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F0" w:rsidRDefault="004752F0" w:rsidP="0069468C">
      <w:pPr>
        <w:spacing w:after="0" w:line="240" w:lineRule="auto"/>
      </w:pPr>
      <w:r>
        <w:separator/>
      </w:r>
    </w:p>
  </w:endnote>
  <w:endnote w:type="continuationSeparator" w:id="1">
    <w:p w:rsidR="004752F0" w:rsidRDefault="004752F0" w:rsidP="0069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8C" w:rsidRDefault="00EB699F">
    <w:pPr>
      <w:pStyle w:val="Footer"/>
    </w:pPr>
    <w:r>
      <w:t>TECHNOLOGY GRADE 7 - 9</w:t>
    </w:r>
    <w:r>
      <w:ptab w:relativeTo="margin" w:alignment="center" w:leader="none"/>
    </w:r>
    <w:r>
      <w:t>RECOVERY PLAN</w:t>
    </w:r>
    <w:r>
      <w:ptab w:relativeTo="margin" w:alignment="right" w:leader="none"/>
    </w:r>
    <w:r>
      <w:t>NORTH WEST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F0" w:rsidRDefault="004752F0" w:rsidP="0069468C">
      <w:pPr>
        <w:spacing w:after="0" w:line="240" w:lineRule="auto"/>
      </w:pPr>
      <w:r>
        <w:separator/>
      </w:r>
    </w:p>
  </w:footnote>
  <w:footnote w:type="continuationSeparator" w:id="1">
    <w:p w:rsidR="004752F0" w:rsidRDefault="004752F0" w:rsidP="00694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547"/>
    <w:rsid w:val="000A70F3"/>
    <w:rsid w:val="004752F0"/>
    <w:rsid w:val="0069468C"/>
    <w:rsid w:val="00BF5547"/>
    <w:rsid w:val="00EB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ZA" w:eastAsia="en-Z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47"/>
  </w:style>
  <w:style w:type="paragraph" w:styleId="Heading1">
    <w:name w:val="heading 1"/>
    <w:basedOn w:val="normal0"/>
    <w:next w:val="normal0"/>
    <w:rsid w:val="00BF554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F554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F554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F554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F554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BF554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F5547"/>
  </w:style>
  <w:style w:type="paragraph" w:styleId="Title">
    <w:name w:val="Title"/>
    <w:basedOn w:val="normal0"/>
    <w:next w:val="normal0"/>
    <w:rsid w:val="00BF5547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97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BF554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5547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68C"/>
  </w:style>
  <w:style w:type="paragraph" w:styleId="Footer">
    <w:name w:val="footer"/>
    <w:basedOn w:val="Normal"/>
    <w:link w:val="FooterChar"/>
    <w:uiPriority w:val="99"/>
    <w:unhideWhenUsed/>
    <w:rsid w:val="0069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68C"/>
  </w:style>
  <w:style w:type="paragraph" w:styleId="BalloonText">
    <w:name w:val="Balloon Text"/>
    <w:basedOn w:val="Normal"/>
    <w:link w:val="BalloonTextChar"/>
    <w:uiPriority w:val="99"/>
    <w:semiHidden/>
    <w:unhideWhenUsed/>
    <w:rsid w:val="0069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Mbizeni</cp:lastModifiedBy>
  <cp:revision>3</cp:revision>
  <dcterms:created xsi:type="dcterms:W3CDTF">2020-03-17T07:42:00Z</dcterms:created>
  <dcterms:modified xsi:type="dcterms:W3CDTF">2020-03-17T07:54:00Z</dcterms:modified>
</cp:coreProperties>
</file>